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33"/>
        <w:gridCol w:w="10128"/>
        <w:gridCol w:w="2187"/>
      </w:tblGrid>
      <w:tr w:rsidR="00593315" w:rsidRPr="00320222" w14:paraId="53E35877" w14:textId="249773EF" w:rsidTr="00593315">
        <w:tc>
          <w:tcPr>
            <w:tcW w:w="1633" w:type="dxa"/>
            <w:shd w:val="clear" w:color="auto" w:fill="C1E4F5" w:themeFill="accent1" w:themeFillTint="33"/>
          </w:tcPr>
          <w:p w14:paraId="6973B94C" w14:textId="77777777" w:rsidR="00593315" w:rsidRPr="00320222" w:rsidRDefault="00593315" w:rsidP="00315EF8">
            <w:pPr>
              <w:jc w:val="center"/>
              <w:rPr>
                <w:rFonts w:ascii="Gill Sans MT" w:hAnsi="Gill Sans MT"/>
                <w:b/>
                <w:sz w:val="24"/>
                <w:szCs w:val="24"/>
              </w:rPr>
            </w:pPr>
            <w:bookmarkStart w:id="0" w:name="_Hlk158192453"/>
            <w:r>
              <w:rPr>
                <w:rFonts w:ascii="Gill Sans MT" w:hAnsi="Gill Sans MT"/>
                <w:b/>
                <w:sz w:val="24"/>
                <w:szCs w:val="24"/>
              </w:rPr>
              <w:t>Task</w:t>
            </w:r>
          </w:p>
        </w:tc>
        <w:tc>
          <w:tcPr>
            <w:tcW w:w="10128" w:type="dxa"/>
            <w:shd w:val="clear" w:color="auto" w:fill="C1E4F5" w:themeFill="accent1" w:themeFillTint="33"/>
          </w:tcPr>
          <w:p w14:paraId="179896F1" w14:textId="77777777" w:rsidR="00593315" w:rsidRPr="00320222" w:rsidRDefault="00593315" w:rsidP="00315EF8">
            <w:pPr>
              <w:jc w:val="center"/>
              <w:rPr>
                <w:rFonts w:ascii="Gill Sans MT" w:hAnsi="Gill Sans MT"/>
                <w:b/>
                <w:sz w:val="24"/>
                <w:szCs w:val="24"/>
              </w:rPr>
            </w:pPr>
            <w:r w:rsidRPr="00320222">
              <w:rPr>
                <w:rFonts w:ascii="Gill Sans MT" w:hAnsi="Gill Sans MT"/>
                <w:b/>
                <w:sz w:val="24"/>
                <w:szCs w:val="24"/>
              </w:rPr>
              <w:t>Details</w:t>
            </w:r>
          </w:p>
        </w:tc>
        <w:tc>
          <w:tcPr>
            <w:tcW w:w="2187" w:type="dxa"/>
            <w:shd w:val="clear" w:color="auto" w:fill="C1E4F5" w:themeFill="accent1" w:themeFillTint="33"/>
          </w:tcPr>
          <w:p w14:paraId="614753FD" w14:textId="69E18202" w:rsidR="00593315" w:rsidRPr="00320222" w:rsidRDefault="00593315" w:rsidP="00315EF8">
            <w:pPr>
              <w:jc w:val="center"/>
              <w:rPr>
                <w:rFonts w:ascii="Gill Sans MT" w:hAnsi="Gill Sans MT"/>
                <w:b/>
                <w:sz w:val="24"/>
                <w:szCs w:val="24"/>
              </w:rPr>
            </w:pPr>
            <w:r>
              <w:rPr>
                <w:rFonts w:ascii="Gill Sans MT" w:hAnsi="Gill Sans MT"/>
                <w:b/>
                <w:sz w:val="24"/>
                <w:szCs w:val="24"/>
              </w:rPr>
              <w:t>Date completed / initialled</w:t>
            </w:r>
          </w:p>
        </w:tc>
      </w:tr>
      <w:tr w:rsidR="00593315" w:rsidRPr="00320222" w14:paraId="6486E297" w14:textId="086E0BA5" w:rsidTr="00593315">
        <w:tc>
          <w:tcPr>
            <w:tcW w:w="11761" w:type="dxa"/>
            <w:gridSpan w:val="2"/>
            <w:shd w:val="clear" w:color="auto" w:fill="auto"/>
            <w:vAlign w:val="center"/>
          </w:tcPr>
          <w:p w14:paraId="53C5C0EB" w14:textId="77777777" w:rsidR="00593315" w:rsidRDefault="00593315" w:rsidP="00315EF8">
            <w:pPr>
              <w:rPr>
                <w:rFonts w:ascii="Gill Sans MT" w:hAnsi="Gill Sans MT" w:cstheme="minorHAnsi"/>
                <w:sz w:val="24"/>
                <w:szCs w:val="24"/>
              </w:rPr>
            </w:pPr>
            <w:r w:rsidRPr="00077923">
              <w:rPr>
                <w:rFonts w:ascii="Gill Sans MT" w:hAnsi="Gill Sans MT" w:cstheme="minorHAnsi"/>
                <w:b/>
                <w:bCs/>
                <w:sz w:val="24"/>
                <w:szCs w:val="24"/>
              </w:rPr>
              <w:t>Before the hospice has agreed to accept the patient for admission</w:t>
            </w:r>
          </w:p>
        </w:tc>
        <w:tc>
          <w:tcPr>
            <w:tcW w:w="2187" w:type="dxa"/>
          </w:tcPr>
          <w:p w14:paraId="00C180A7" w14:textId="77777777" w:rsidR="00593315" w:rsidRPr="00077923" w:rsidRDefault="00593315" w:rsidP="00315EF8">
            <w:pPr>
              <w:rPr>
                <w:rFonts w:ascii="Gill Sans MT" w:hAnsi="Gill Sans MT" w:cstheme="minorHAnsi"/>
                <w:b/>
                <w:bCs/>
                <w:sz w:val="24"/>
                <w:szCs w:val="24"/>
              </w:rPr>
            </w:pPr>
          </w:p>
        </w:tc>
      </w:tr>
      <w:tr w:rsidR="00593315" w:rsidRPr="00320222" w14:paraId="752FEE4A" w14:textId="1A7133A1" w:rsidTr="00593315">
        <w:tc>
          <w:tcPr>
            <w:tcW w:w="1633" w:type="dxa"/>
            <w:shd w:val="clear" w:color="auto" w:fill="auto"/>
            <w:vAlign w:val="center"/>
          </w:tcPr>
          <w:p w14:paraId="25AFB84A"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Discuss care options with the key staff involved in the patients care at the hospital</w:t>
            </w:r>
          </w:p>
        </w:tc>
        <w:tc>
          <w:tcPr>
            <w:tcW w:w="10128" w:type="dxa"/>
            <w:shd w:val="clear" w:color="auto" w:fill="auto"/>
          </w:tcPr>
          <w:p w14:paraId="613DA4E8"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Consider discharge plans and options – home, care home, hospice</w:t>
            </w:r>
          </w:p>
          <w:p w14:paraId="14EC30B3"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Think about where the patient is in their journey, what is their prognosis – days, days to short weeks; weeks to short months etc</w:t>
            </w:r>
          </w:p>
          <w:p w14:paraId="44150364"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xml:space="preserve">- Have the team used any prognostic indicators or patient outcome measures to assess level of need </w:t>
            </w:r>
            <w:proofErr w:type="gramStart"/>
            <w:r>
              <w:rPr>
                <w:rFonts w:ascii="Gill Sans MT" w:hAnsi="Gill Sans MT" w:cstheme="minorHAnsi"/>
                <w:sz w:val="24"/>
                <w:szCs w:val="24"/>
              </w:rPr>
              <w:t>e.g.</w:t>
            </w:r>
            <w:proofErr w:type="gramEnd"/>
            <w:r>
              <w:rPr>
                <w:rFonts w:ascii="Gill Sans MT" w:hAnsi="Gill Sans MT" w:cstheme="minorHAnsi"/>
                <w:sz w:val="24"/>
                <w:szCs w:val="24"/>
              </w:rPr>
              <w:t xml:space="preserve"> GSF or OACC</w:t>
            </w:r>
          </w:p>
        </w:tc>
        <w:tc>
          <w:tcPr>
            <w:tcW w:w="2187" w:type="dxa"/>
          </w:tcPr>
          <w:p w14:paraId="03D65A5F" w14:textId="77777777" w:rsidR="00593315" w:rsidRDefault="00593315" w:rsidP="00315EF8">
            <w:pPr>
              <w:rPr>
                <w:rFonts w:ascii="Gill Sans MT" w:hAnsi="Gill Sans MT" w:cstheme="minorHAnsi"/>
                <w:sz w:val="24"/>
                <w:szCs w:val="24"/>
              </w:rPr>
            </w:pPr>
          </w:p>
        </w:tc>
      </w:tr>
      <w:tr w:rsidR="00593315" w:rsidRPr="00320222" w14:paraId="46633B21" w14:textId="515593F0" w:rsidTr="00593315">
        <w:tc>
          <w:tcPr>
            <w:tcW w:w="1633" w:type="dxa"/>
            <w:shd w:val="clear" w:color="auto" w:fill="auto"/>
            <w:vAlign w:val="center"/>
          </w:tcPr>
          <w:p w14:paraId="4AD57A5A" w14:textId="77777777" w:rsidR="00593315" w:rsidRPr="00320222" w:rsidRDefault="00593315" w:rsidP="00315EF8">
            <w:pPr>
              <w:rPr>
                <w:rFonts w:ascii="Gill Sans MT" w:hAnsi="Gill Sans MT" w:cstheme="minorHAnsi"/>
                <w:sz w:val="24"/>
                <w:szCs w:val="24"/>
              </w:rPr>
            </w:pPr>
            <w:r>
              <w:rPr>
                <w:rFonts w:ascii="Gill Sans MT" w:hAnsi="Gill Sans MT" w:cstheme="minorHAnsi"/>
                <w:sz w:val="24"/>
                <w:szCs w:val="24"/>
              </w:rPr>
              <w:t>Discuss transfer with the patient and family</w:t>
            </w:r>
          </w:p>
        </w:tc>
        <w:tc>
          <w:tcPr>
            <w:tcW w:w="10128" w:type="dxa"/>
            <w:shd w:val="clear" w:color="auto" w:fill="auto"/>
          </w:tcPr>
          <w:p w14:paraId="7AC3B711"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Does the patient have an ACP</w:t>
            </w:r>
          </w:p>
          <w:p w14:paraId="4153085A"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Does the patient have a TEP form</w:t>
            </w:r>
          </w:p>
          <w:p w14:paraId="2974443B"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xml:space="preserve">- Have they expressed a preference about their preferred place or care and preferred place of death </w:t>
            </w:r>
          </w:p>
          <w:p w14:paraId="6C6A559C" w14:textId="77777777" w:rsidR="00593315" w:rsidRPr="007F2F16" w:rsidRDefault="00593315" w:rsidP="00315EF8">
            <w:pPr>
              <w:rPr>
                <w:rFonts w:ascii="Gill Sans MT" w:hAnsi="Gill Sans MT" w:cstheme="minorHAnsi"/>
                <w:sz w:val="24"/>
                <w:szCs w:val="24"/>
              </w:rPr>
            </w:pPr>
            <w:r>
              <w:rPr>
                <w:rFonts w:ascii="Gill Sans MT" w:hAnsi="Gill Sans MT" w:cstheme="minorHAnsi"/>
                <w:sz w:val="24"/>
                <w:szCs w:val="24"/>
              </w:rPr>
              <w:t xml:space="preserve">- What issues, problems, symptoms </w:t>
            </w:r>
            <w:proofErr w:type="gramStart"/>
            <w:r>
              <w:rPr>
                <w:rFonts w:ascii="Gill Sans MT" w:hAnsi="Gill Sans MT" w:cstheme="minorHAnsi"/>
                <w:sz w:val="24"/>
                <w:szCs w:val="24"/>
              </w:rPr>
              <w:t>has</w:t>
            </w:r>
            <w:proofErr w:type="gramEnd"/>
            <w:r>
              <w:rPr>
                <w:rFonts w:ascii="Gill Sans MT" w:hAnsi="Gill Sans MT" w:cstheme="minorHAnsi"/>
                <w:sz w:val="24"/>
                <w:szCs w:val="24"/>
              </w:rPr>
              <w:t xml:space="preserve"> the patient identified that the hospice might be able to help with?</w:t>
            </w:r>
          </w:p>
        </w:tc>
        <w:tc>
          <w:tcPr>
            <w:tcW w:w="2187" w:type="dxa"/>
          </w:tcPr>
          <w:p w14:paraId="5B1940D4" w14:textId="77777777" w:rsidR="00593315" w:rsidRDefault="00593315" w:rsidP="00315EF8">
            <w:pPr>
              <w:rPr>
                <w:rFonts w:ascii="Gill Sans MT" w:hAnsi="Gill Sans MT" w:cstheme="minorHAnsi"/>
                <w:sz w:val="24"/>
                <w:szCs w:val="24"/>
              </w:rPr>
            </w:pPr>
          </w:p>
        </w:tc>
      </w:tr>
      <w:tr w:rsidR="00593315" w:rsidRPr="00320222" w14:paraId="22C74B76" w14:textId="72D8F70E" w:rsidTr="00593315">
        <w:tc>
          <w:tcPr>
            <w:tcW w:w="11761" w:type="dxa"/>
            <w:gridSpan w:val="2"/>
            <w:vAlign w:val="center"/>
          </w:tcPr>
          <w:p w14:paraId="67E04BC2" w14:textId="77777777" w:rsidR="00593315" w:rsidRDefault="00593315" w:rsidP="00315EF8">
            <w:pPr>
              <w:rPr>
                <w:rFonts w:ascii="Gill Sans MT" w:hAnsi="Gill Sans MT" w:cstheme="minorHAnsi"/>
                <w:sz w:val="24"/>
                <w:szCs w:val="24"/>
              </w:rPr>
            </w:pPr>
            <w:r w:rsidRPr="00077923">
              <w:rPr>
                <w:rFonts w:ascii="Gill Sans MT" w:hAnsi="Gill Sans MT" w:cstheme="minorHAnsi"/>
                <w:b/>
                <w:bCs/>
                <w:sz w:val="24"/>
                <w:szCs w:val="24"/>
              </w:rPr>
              <w:t>Once the team has decided to request admission</w:t>
            </w:r>
          </w:p>
        </w:tc>
        <w:tc>
          <w:tcPr>
            <w:tcW w:w="2187" w:type="dxa"/>
          </w:tcPr>
          <w:p w14:paraId="088ABF76" w14:textId="77777777" w:rsidR="00593315" w:rsidRPr="00077923" w:rsidRDefault="00593315" w:rsidP="00315EF8">
            <w:pPr>
              <w:rPr>
                <w:rFonts w:ascii="Gill Sans MT" w:hAnsi="Gill Sans MT" w:cstheme="minorHAnsi"/>
                <w:b/>
                <w:bCs/>
                <w:sz w:val="24"/>
                <w:szCs w:val="24"/>
              </w:rPr>
            </w:pPr>
          </w:p>
        </w:tc>
      </w:tr>
      <w:tr w:rsidR="00593315" w:rsidRPr="00320222" w14:paraId="67F38B61" w14:textId="4DDFD095" w:rsidTr="00593315">
        <w:tc>
          <w:tcPr>
            <w:tcW w:w="1633" w:type="dxa"/>
            <w:vAlign w:val="center"/>
          </w:tcPr>
          <w:p w14:paraId="52A6BC9E" w14:textId="77777777" w:rsidR="00593315" w:rsidRPr="00320222" w:rsidRDefault="00593315" w:rsidP="00315EF8">
            <w:pPr>
              <w:rPr>
                <w:rFonts w:ascii="Gill Sans MT" w:hAnsi="Gill Sans MT"/>
                <w:sz w:val="24"/>
                <w:szCs w:val="24"/>
              </w:rPr>
            </w:pPr>
            <w:r>
              <w:rPr>
                <w:rFonts w:ascii="Gill Sans MT" w:hAnsi="Gill Sans MT" w:cstheme="minorHAnsi"/>
                <w:sz w:val="24"/>
                <w:szCs w:val="24"/>
              </w:rPr>
              <w:t>Make a r</w:t>
            </w:r>
            <w:r w:rsidRPr="00320222">
              <w:rPr>
                <w:rFonts w:ascii="Gill Sans MT" w:hAnsi="Gill Sans MT" w:cstheme="minorHAnsi"/>
                <w:sz w:val="24"/>
                <w:szCs w:val="24"/>
              </w:rPr>
              <w:t xml:space="preserve">eferral to </w:t>
            </w:r>
            <w:r>
              <w:rPr>
                <w:rFonts w:ascii="Gill Sans MT" w:hAnsi="Gill Sans MT" w:cstheme="minorHAnsi"/>
                <w:sz w:val="24"/>
                <w:szCs w:val="24"/>
              </w:rPr>
              <w:t xml:space="preserve">the </w:t>
            </w:r>
            <w:r w:rsidRPr="00320222">
              <w:rPr>
                <w:rFonts w:ascii="Gill Sans MT" w:hAnsi="Gill Sans MT" w:cstheme="minorHAnsi"/>
                <w:sz w:val="24"/>
                <w:szCs w:val="24"/>
              </w:rPr>
              <w:t xml:space="preserve">Hospice </w:t>
            </w:r>
          </w:p>
        </w:tc>
        <w:tc>
          <w:tcPr>
            <w:tcW w:w="10128" w:type="dxa"/>
          </w:tcPr>
          <w:p w14:paraId="619ECF90" w14:textId="77777777" w:rsidR="00593315" w:rsidRPr="00C819CB"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C819CB">
              <w:rPr>
                <w:rFonts w:ascii="Gill Sans MT" w:hAnsi="Gill Sans MT" w:cstheme="minorHAnsi"/>
                <w:sz w:val="24"/>
                <w:szCs w:val="24"/>
              </w:rPr>
              <w:t xml:space="preserve">Call our </w:t>
            </w:r>
            <w:r>
              <w:rPr>
                <w:rFonts w:ascii="Gill Sans MT" w:hAnsi="Gill Sans MT" w:cstheme="minorHAnsi"/>
                <w:sz w:val="24"/>
                <w:szCs w:val="24"/>
              </w:rPr>
              <w:t>Healthcare p</w:t>
            </w:r>
            <w:r w:rsidRPr="00C819CB">
              <w:rPr>
                <w:rFonts w:ascii="Gill Sans MT" w:hAnsi="Gill Sans MT" w:cstheme="minorHAnsi"/>
                <w:sz w:val="24"/>
                <w:szCs w:val="24"/>
              </w:rPr>
              <w:t xml:space="preserve">rofessional advice line </w:t>
            </w:r>
            <w:r w:rsidRPr="00C819CB">
              <w:rPr>
                <w:rFonts w:ascii="Gill Sans MT" w:hAnsi="Gill Sans MT" w:cstheme="minorHAnsi"/>
                <w:b/>
                <w:bCs/>
                <w:color w:val="0070C0"/>
                <w:sz w:val="24"/>
                <w:szCs w:val="24"/>
              </w:rPr>
              <w:t>01271 347214</w:t>
            </w:r>
            <w:r w:rsidRPr="00C819CB">
              <w:rPr>
                <w:rFonts w:ascii="Gill Sans MT" w:hAnsi="Gill Sans MT" w:cstheme="minorHAnsi"/>
                <w:color w:val="0070C0"/>
                <w:sz w:val="24"/>
                <w:szCs w:val="24"/>
              </w:rPr>
              <w:t xml:space="preserve"> </w:t>
            </w:r>
            <w:r w:rsidRPr="00C819CB">
              <w:rPr>
                <w:rFonts w:ascii="Gill Sans MT" w:hAnsi="Gill Sans MT" w:cstheme="minorHAnsi"/>
                <w:sz w:val="24"/>
                <w:szCs w:val="24"/>
              </w:rPr>
              <w:t xml:space="preserve">to request referral to our Inpatient Unit. </w:t>
            </w:r>
          </w:p>
          <w:p w14:paraId="248DC32C" w14:textId="77777777" w:rsidR="00593315" w:rsidRPr="00E131EA" w:rsidRDefault="00593315" w:rsidP="00315EF8">
            <w:pPr>
              <w:rPr>
                <w:rFonts w:ascii="Gill Sans MT" w:hAnsi="Gill Sans MT" w:cstheme="minorHAnsi"/>
                <w:sz w:val="24"/>
                <w:szCs w:val="24"/>
              </w:rPr>
            </w:pPr>
            <w:r>
              <w:rPr>
                <w:rFonts w:ascii="Gill Sans MT" w:hAnsi="Gill Sans MT" w:cstheme="minorHAnsi"/>
                <w:sz w:val="24"/>
                <w:szCs w:val="24"/>
              </w:rPr>
              <w:t>Information our doctor will need:</w:t>
            </w:r>
          </w:p>
          <w:p w14:paraId="6D852C20" w14:textId="77777777" w:rsidR="00593315" w:rsidRPr="00E131EA" w:rsidRDefault="00593315" w:rsidP="00593315">
            <w:pPr>
              <w:pStyle w:val="ListParagraph"/>
              <w:numPr>
                <w:ilvl w:val="0"/>
                <w:numId w:val="1"/>
              </w:numPr>
              <w:rPr>
                <w:rFonts w:ascii="Gill Sans MT" w:hAnsi="Gill Sans MT"/>
                <w:sz w:val="24"/>
                <w:szCs w:val="24"/>
              </w:rPr>
            </w:pPr>
            <w:r>
              <w:rPr>
                <w:rFonts w:ascii="Gill Sans MT" w:hAnsi="Gill Sans MT" w:cstheme="minorHAnsi"/>
                <w:sz w:val="24"/>
                <w:szCs w:val="24"/>
              </w:rPr>
              <w:t>M</w:t>
            </w:r>
            <w:r w:rsidRPr="00A26BD8">
              <w:rPr>
                <w:rFonts w:ascii="Gill Sans MT" w:hAnsi="Gill Sans MT" w:cstheme="minorHAnsi"/>
                <w:sz w:val="24"/>
                <w:szCs w:val="24"/>
              </w:rPr>
              <w:t>edical history</w:t>
            </w:r>
          </w:p>
          <w:p w14:paraId="28FAA9DC" w14:textId="77777777" w:rsidR="00593315" w:rsidRPr="00E131EA" w:rsidRDefault="00593315" w:rsidP="00593315">
            <w:pPr>
              <w:pStyle w:val="ListParagraph"/>
              <w:numPr>
                <w:ilvl w:val="0"/>
                <w:numId w:val="1"/>
              </w:numPr>
              <w:rPr>
                <w:rFonts w:ascii="Gill Sans MT" w:hAnsi="Gill Sans MT"/>
                <w:sz w:val="24"/>
                <w:szCs w:val="24"/>
              </w:rPr>
            </w:pPr>
            <w:r>
              <w:rPr>
                <w:rFonts w:ascii="Gill Sans MT" w:hAnsi="Gill Sans MT" w:cstheme="minorHAnsi"/>
                <w:sz w:val="24"/>
                <w:szCs w:val="24"/>
              </w:rPr>
              <w:t>S</w:t>
            </w:r>
            <w:r w:rsidRPr="00A26BD8">
              <w:rPr>
                <w:rFonts w:ascii="Gill Sans MT" w:hAnsi="Gill Sans MT" w:cstheme="minorHAnsi"/>
                <w:sz w:val="24"/>
                <w:szCs w:val="24"/>
              </w:rPr>
              <w:t>pecific information regarding recent falls</w:t>
            </w:r>
            <w:r>
              <w:rPr>
                <w:rFonts w:ascii="Gill Sans MT" w:hAnsi="Gill Sans MT" w:cstheme="minorHAnsi"/>
                <w:sz w:val="24"/>
                <w:szCs w:val="24"/>
              </w:rPr>
              <w:t>/</w:t>
            </w:r>
            <w:r w:rsidRPr="00A26BD8">
              <w:rPr>
                <w:rFonts w:ascii="Gill Sans MT" w:hAnsi="Gill Sans MT" w:cstheme="minorHAnsi"/>
                <w:sz w:val="24"/>
                <w:szCs w:val="24"/>
              </w:rPr>
              <w:t>confusio</w:t>
            </w:r>
            <w:r>
              <w:rPr>
                <w:rFonts w:ascii="Gill Sans MT" w:hAnsi="Gill Sans MT" w:cstheme="minorHAnsi"/>
                <w:sz w:val="24"/>
                <w:szCs w:val="24"/>
              </w:rPr>
              <w:t>n</w:t>
            </w:r>
          </w:p>
          <w:p w14:paraId="3353157E" w14:textId="77777777" w:rsidR="00593315" w:rsidRPr="00E131EA" w:rsidRDefault="00593315" w:rsidP="00593315">
            <w:pPr>
              <w:pStyle w:val="ListParagraph"/>
              <w:numPr>
                <w:ilvl w:val="0"/>
                <w:numId w:val="1"/>
              </w:numPr>
              <w:rPr>
                <w:rFonts w:ascii="Gill Sans MT" w:hAnsi="Gill Sans MT"/>
                <w:sz w:val="24"/>
                <w:szCs w:val="24"/>
              </w:rPr>
            </w:pPr>
            <w:r>
              <w:rPr>
                <w:rFonts w:ascii="Gill Sans MT" w:hAnsi="Gill Sans MT" w:cstheme="minorHAnsi"/>
                <w:sz w:val="24"/>
                <w:szCs w:val="24"/>
              </w:rPr>
              <w:t>O</w:t>
            </w:r>
            <w:r w:rsidRPr="00A26BD8">
              <w:rPr>
                <w:rFonts w:ascii="Gill Sans MT" w:hAnsi="Gill Sans MT" w:cstheme="minorHAnsi"/>
                <w:sz w:val="24"/>
                <w:szCs w:val="24"/>
              </w:rPr>
              <w:t>xygen requirements</w:t>
            </w:r>
          </w:p>
          <w:p w14:paraId="156C61EF" w14:textId="77777777" w:rsidR="00593315" w:rsidRPr="00D84608" w:rsidRDefault="00593315" w:rsidP="00593315">
            <w:pPr>
              <w:pStyle w:val="ListParagraph"/>
              <w:numPr>
                <w:ilvl w:val="0"/>
                <w:numId w:val="1"/>
              </w:numPr>
              <w:rPr>
                <w:rFonts w:ascii="Gill Sans MT" w:hAnsi="Gill Sans MT"/>
                <w:sz w:val="24"/>
                <w:szCs w:val="24"/>
              </w:rPr>
            </w:pPr>
            <w:r>
              <w:rPr>
                <w:rFonts w:ascii="Gill Sans MT" w:hAnsi="Gill Sans MT" w:cstheme="minorHAnsi"/>
                <w:sz w:val="24"/>
                <w:szCs w:val="24"/>
              </w:rPr>
              <w:t>Infection status - a</w:t>
            </w:r>
            <w:r w:rsidRPr="00FC2DF3">
              <w:rPr>
                <w:rFonts w:ascii="Gill Sans MT" w:hAnsi="Gill Sans MT" w:cstheme="minorHAnsi"/>
                <w:sz w:val="24"/>
                <w:szCs w:val="24"/>
              </w:rPr>
              <w:t>ny potential infectious conditions</w:t>
            </w:r>
            <w:r>
              <w:rPr>
                <w:rFonts w:ascii="Gill Sans MT" w:hAnsi="Gill Sans MT" w:cstheme="minorHAnsi"/>
                <w:sz w:val="24"/>
                <w:szCs w:val="24"/>
              </w:rPr>
              <w:t xml:space="preserve"> (check if any pre-admission infection screening required)</w:t>
            </w:r>
          </w:p>
          <w:p w14:paraId="79F5DB86" w14:textId="77777777" w:rsidR="00593315" w:rsidRPr="00D84608" w:rsidRDefault="00593315" w:rsidP="00315EF8">
            <w:pPr>
              <w:rPr>
                <w:rFonts w:ascii="Gill Sans MT" w:hAnsi="Gill Sans MT"/>
                <w:sz w:val="24"/>
                <w:szCs w:val="24"/>
              </w:rPr>
            </w:pPr>
            <w:r>
              <w:rPr>
                <w:rFonts w:ascii="Gill Sans MT" w:hAnsi="Gill Sans MT"/>
                <w:sz w:val="24"/>
                <w:szCs w:val="24"/>
              </w:rPr>
              <w:lastRenderedPageBreak/>
              <w:t>- This discussion will either lead to a decision to admit today OR place the patient on our Awareness List for discussion at the next scheduled Capacity Meeting (see above)</w:t>
            </w:r>
          </w:p>
        </w:tc>
        <w:tc>
          <w:tcPr>
            <w:tcW w:w="2187" w:type="dxa"/>
          </w:tcPr>
          <w:p w14:paraId="1E51BF3E" w14:textId="77777777" w:rsidR="00593315" w:rsidRDefault="00593315" w:rsidP="00315EF8">
            <w:pPr>
              <w:rPr>
                <w:rFonts w:ascii="Gill Sans MT" w:hAnsi="Gill Sans MT" w:cstheme="minorHAnsi"/>
                <w:sz w:val="24"/>
                <w:szCs w:val="24"/>
              </w:rPr>
            </w:pPr>
          </w:p>
        </w:tc>
      </w:tr>
      <w:tr w:rsidR="00593315" w:rsidRPr="00320222" w14:paraId="51412ED3" w14:textId="41228291" w:rsidTr="00593315">
        <w:tc>
          <w:tcPr>
            <w:tcW w:w="1633" w:type="dxa"/>
            <w:vAlign w:val="center"/>
          </w:tcPr>
          <w:p w14:paraId="0536F111" w14:textId="77777777" w:rsidR="00593315" w:rsidRPr="00320222" w:rsidRDefault="00593315" w:rsidP="00315EF8">
            <w:pPr>
              <w:rPr>
                <w:rFonts w:ascii="Gill Sans MT" w:hAnsi="Gill Sans MT" w:cstheme="minorHAnsi"/>
                <w:sz w:val="24"/>
                <w:szCs w:val="24"/>
              </w:rPr>
            </w:pPr>
            <w:r>
              <w:rPr>
                <w:rFonts w:ascii="Gill Sans MT" w:hAnsi="Gill Sans MT" w:cstheme="minorHAnsi"/>
                <w:sz w:val="24"/>
                <w:szCs w:val="24"/>
              </w:rPr>
              <w:t>Nursing Team to start nursing handover and discharge paperwork</w:t>
            </w:r>
          </w:p>
        </w:tc>
        <w:tc>
          <w:tcPr>
            <w:tcW w:w="10128" w:type="dxa"/>
          </w:tcPr>
          <w:p w14:paraId="27CAD113"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Use our Nursing handover Guide below to help you gather all the information we will need for transfer</w:t>
            </w:r>
          </w:p>
          <w:p w14:paraId="2AC38CB6"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If you want to discuss the patient, please feel free to call our nurses on 01271 347214</w:t>
            </w:r>
          </w:p>
          <w:p w14:paraId="2AF9EE8C" w14:textId="77777777" w:rsidR="00593315" w:rsidRPr="00D84608" w:rsidRDefault="00593315" w:rsidP="00315EF8">
            <w:pPr>
              <w:rPr>
                <w:rFonts w:ascii="Gill Sans MT" w:hAnsi="Gill Sans MT" w:cstheme="minorHAnsi"/>
                <w:sz w:val="24"/>
                <w:szCs w:val="24"/>
              </w:rPr>
            </w:pPr>
            <w:r>
              <w:rPr>
                <w:rFonts w:ascii="Gill Sans MT" w:hAnsi="Gill Sans MT" w:cstheme="minorHAnsi"/>
                <w:sz w:val="24"/>
                <w:szCs w:val="24"/>
              </w:rPr>
              <w:t>- If things change with the patient’s condition, remember to update your information prior to handover</w:t>
            </w:r>
          </w:p>
        </w:tc>
        <w:tc>
          <w:tcPr>
            <w:tcW w:w="2187" w:type="dxa"/>
          </w:tcPr>
          <w:p w14:paraId="63F7D4BB" w14:textId="77777777" w:rsidR="00593315" w:rsidRDefault="00593315" w:rsidP="00315EF8">
            <w:pPr>
              <w:rPr>
                <w:rFonts w:ascii="Gill Sans MT" w:hAnsi="Gill Sans MT" w:cstheme="minorHAnsi"/>
                <w:sz w:val="24"/>
                <w:szCs w:val="24"/>
              </w:rPr>
            </w:pPr>
          </w:p>
        </w:tc>
      </w:tr>
      <w:tr w:rsidR="00593315" w:rsidRPr="00320222" w14:paraId="0DBA5787" w14:textId="35A904E4" w:rsidTr="00593315">
        <w:tc>
          <w:tcPr>
            <w:tcW w:w="1633" w:type="dxa"/>
            <w:vAlign w:val="center"/>
          </w:tcPr>
          <w:p w14:paraId="4CAE36CF"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Start the process of arranging TTAs</w:t>
            </w:r>
          </w:p>
        </w:tc>
        <w:tc>
          <w:tcPr>
            <w:tcW w:w="10128" w:type="dxa"/>
          </w:tcPr>
          <w:p w14:paraId="52797B17"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D84608">
              <w:rPr>
                <w:rFonts w:ascii="Gill Sans MT" w:hAnsi="Gill Sans MT" w:cstheme="minorHAnsi"/>
                <w:sz w:val="24"/>
                <w:szCs w:val="24"/>
              </w:rPr>
              <w:t>The patient may need to bring some TTAs with them</w:t>
            </w:r>
            <w:r>
              <w:rPr>
                <w:rFonts w:ascii="Gill Sans MT" w:hAnsi="Gill Sans MT" w:cstheme="minorHAnsi"/>
                <w:sz w:val="24"/>
                <w:szCs w:val="24"/>
              </w:rPr>
              <w:t xml:space="preserve"> on transfer</w:t>
            </w:r>
            <w:r w:rsidRPr="00D84608">
              <w:rPr>
                <w:rFonts w:ascii="Gill Sans MT" w:hAnsi="Gill Sans MT" w:cstheme="minorHAnsi"/>
                <w:sz w:val="24"/>
                <w:szCs w:val="24"/>
              </w:rPr>
              <w:t>, check with Hospice nurse/doctor prior to requesting from pharmacy so as not to delay transfer (NB: most syringe driver and ‘anticipatory’ medications are standard hospice stock and will not be required).</w:t>
            </w:r>
          </w:p>
          <w:p w14:paraId="1973FDAB"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 xml:space="preserve">- As TTAs may take a while to arrange it might be worth considering commencing your paperwork after your initial referral discussion if admission is being considered. </w:t>
            </w:r>
          </w:p>
          <w:p w14:paraId="11D75A92" w14:textId="77777777" w:rsidR="00593315" w:rsidRDefault="00593315" w:rsidP="00315EF8">
            <w:pPr>
              <w:rPr>
                <w:rFonts w:ascii="Gill Sans MT" w:hAnsi="Gill Sans MT" w:cstheme="minorHAnsi"/>
                <w:sz w:val="24"/>
                <w:szCs w:val="24"/>
              </w:rPr>
            </w:pPr>
          </w:p>
        </w:tc>
        <w:tc>
          <w:tcPr>
            <w:tcW w:w="2187" w:type="dxa"/>
          </w:tcPr>
          <w:p w14:paraId="302D7B71" w14:textId="77777777" w:rsidR="00593315" w:rsidRDefault="00593315" w:rsidP="00315EF8">
            <w:pPr>
              <w:rPr>
                <w:rFonts w:ascii="Gill Sans MT" w:hAnsi="Gill Sans MT" w:cstheme="minorHAnsi"/>
                <w:sz w:val="24"/>
                <w:szCs w:val="24"/>
              </w:rPr>
            </w:pPr>
          </w:p>
        </w:tc>
      </w:tr>
      <w:tr w:rsidR="00593315" w:rsidRPr="00320222" w14:paraId="02FD80F9" w14:textId="5BE56502" w:rsidTr="00593315">
        <w:tc>
          <w:tcPr>
            <w:tcW w:w="1633" w:type="dxa"/>
            <w:vAlign w:val="center"/>
          </w:tcPr>
          <w:p w14:paraId="40BC8A45" w14:textId="77777777" w:rsidR="00593315" w:rsidRPr="00320222" w:rsidRDefault="00593315" w:rsidP="00315EF8">
            <w:pPr>
              <w:rPr>
                <w:rFonts w:ascii="Gill Sans MT" w:hAnsi="Gill Sans MT"/>
                <w:sz w:val="24"/>
                <w:szCs w:val="24"/>
              </w:rPr>
            </w:pPr>
            <w:r w:rsidRPr="00320222">
              <w:rPr>
                <w:rFonts w:ascii="Gill Sans MT" w:hAnsi="Gill Sans MT" w:cstheme="minorHAnsi"/>
                <w:sz w:val="24"/>
                <w:szCs w:val="24"/>
              </w:rPr>
              <w:t>Inform Family</w:t>
            </w:r>
          </w:p>
        </w:tc>
        <w:tc>
          <w:tcPr>
            <w:tcW w:w="10128" w:type="dxa"/>
          </w:tcPr>
          <w:p w14:paraId="1C1143B3"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874C50">
              <w:rPr>
                <w:rFonts w:ascii="Gill Sans MT" w:hAnsi="Gill Sans MT" w:cstheme="minorHAnsi"/>
                <w:sz w:val="24"/>
                <w:szCs w:val="24"/>
              </w:rPr>
              <w:t>Advise the patient and family that you have requested admission.</w:t>
            </w:r>
          </w:p>
          <w:p w14:paraId="5D5EDA34"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874C50">
              <w:rPr>
                <w:rFonts w:ascii="Gill Sans MT" w:hAnsi="Gill Sans MT" w:cstheme="minorHAnsi"/>
                <w:sz w:val="24"/>
                <w:szCs w:val="24"/>
              </w:rPr>
              <w:t>It may be helpful to explain that our team discuss requests each day but that sometimes we can’t always admit immediately.</w:t>
            </w:r>
          </w:p>
          <w:p w14:paraId="1AE5F53A"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874C50">
              <w:rPr>
                <w:rFonts w:ascii="Gill Sans MT" w:hAnsi="Gill Sans MT" w:cstheme="minorHAnsi"/>
                <w:sz w:val="24"/>
                <w:szCs w:val="24"/>
              </w:rPr>
              <w:t xml:space="preserve">Reassure them that we will keep you informed so you can update them about plans. </w:t>
            </w:r>
          </w:p>
        </w:tc>
        <w:tc>
          <w:tcPr>
            <w:tcW w:w="2187" w:type="dxa"/>
          </w:tcPr>
          <w:p w14:paraId="0A60D818" w14:textId="77777777" w:rsidR="00593315" w:rsidRDefault="00593315" w:rsidP="00315EF8">
            <w:pPr>
              <w:rPr>
                <w:rFonts w:ascii="Gill Sans MT" w:hAnsi="Gill Sans MT" w:cstheme="minorHAnsi"/>
                <w:sz w:val="24"/>
                <w:szCs w:val="24"/>
              </w:rPr>
            </w:pPr>
          </w:p>
        </w:tc>
      </w:tr>
      <w:tr w:rsidR="00593315" w:rsidRPr="00320222" w14:paraId="6AE107C7" w14:textId="404EC671" w:rsidTr="00593315">
        <w:tc>
          <w:tcPr>
            <w:tcW w:w="11761" w:type="dxa"/>
            <w:gridSpan w:val="2"/>
            <w:vAlign w:val="center"/>
          </w:tcPr>
          <w:p w14:paraId="52498E32" w14:textId="77777777" w:rsidR="00593315" w:rsidRDefault="00593315" w:rsidP="00315EF8">
            <w:pPr>
              <w:rPr>
                <w:rFonts w:ascii="Gill Sans MT" w:hAnsi="Gill Sans MT"/>
                <w:sz w:val="24"/>
                <w:szCs w:val="24"/>
              </w:rPr>
            </w:pPr>
            <w:r w:rsidRPr="00077923">
              <w:rPr>
                <w:rFonts w:ascii="Gill Sans MT" w:hAnsi="Gill Sans MT" w:cstheme="minorHAnsi"/>
                <w:b/>
                <w:bCs/>
                <w:sz w:val="24"/>
                <w:szCs w:val="24"/>
              </w:rPr>
              <w:t>Once admission is accepted</w:t>
            </w:r>
            <w:r>
              <w:rPr>
                <w:rFonts w:ascii="Gill Sans MT" w:hAnsi="Gill Sans MT" w:cstheme="minorHAnsi"/>
                <w:b/>
                <w:bCs/>
                <w:sz w:val="24"/>
                <w:szCs w:val="24"/>
              </w:rPr>
              <w:t xml:space="preserve"> (see categories above). The next bullet points relate to category 1 only</w:t>
            </w:r>
          </w:p>
        </w:tc>
        <w:tc>
          <w:tcPr>
            <w:tcW w:w="2187" w:type="dxa"/>
          </w:tcPr>
          <w:p w14:paraId="291FBFF5" w14:textId="77777777" w:rsidR="00593315" w:rsidRPr="00077923" w:rsidRDefault="00593315" w:rsidP="00315EF8">
            <w:pPr>
              <w:rPr>
                <w:rFonts w:ascii="Gill Sans MT" w:hAnsi="Gill Sans MT" w:cstheme="minorHAnsi"/>
                <w:b/>
                <w:bCs/>
                <w:sz w:val="24"/>
                <w:szCs w:val="24"/>
              </w:rPr>
            </w:pPr>
          </w:p>
        </w:tc>
      </w:tr>
      <w:tr w:rsidR="00593315" w:rsidRPr="00320222" w14:paraId="19F5EB6C" w14:textId="4213EADA" w:rsidTr="00593315">
        <w:tc>
          <w:tcPr>
            <w:tcW w:w="11761" w:type="dxa"/>
            <w:gridSpan w:val="2"/>
            <w:vAlign w:val="center"/>
          </w:tcPr>
          <w:p w14:paraId="55F4588D" w14:textId="77777777" w:rsidR="00593315" w:rsidRDefault="00593315" w:rsidP="00315EF8">
            <w:pPr>
              <w:rPr>
                <w:rFonts w:ascii="Gill Sans MT" w:hAnsi="Gill Sans MT" w:cstheme="minorHAnsi"/>
                <w:sz w:val="24"/>
                <w:szCs w:val="24"/>
              </w:rPr>
            </w:pPr>
            <w:r>
              <w:rPr>
                <w:rFonts w:ascii="Gill Sans MT" w:hAnsi="Gill Sans MT"/>
                <w:sz w:val="24"/>
                <w:szCs w:val="24"/>
              </w:rPr>
              <w:t xml:space="preserve">Our team will contact you to confirm arrangements and take a final handover - </w:t>
            </w:r>
            <w:r w:rsidRPr="00874C50">
              <w:rPr>
                <w:rFonts w:ascii="Gill Sans MT" w:hAnsi="Gill Sans MT" w:cstheme="minorHAnsi"/>
                <w:sz w:val="24"/>
                <w:szCs w:val="24"/>
              </w:rPr>
              <w:t>see Nursing Handover guide below</w:t>
            </w:r>
          </w:p>
        </w:tc>
        <w:tc>
          <w:tcPr>
            <w:tcW w:w="2187" w:type="dxa"/>
          </w:tcPr>
          <w:p w14:paraId="112586AA" w14:textId="77777777" w:rsidR="00593315" w:rsidRDefault="00593315" w:rsidP="00315EF8">
            <w:pPr>
              <w:rPr>
                <w:rFonts w:ascii="Gill Sans MT" w:hAnsi="Gill Sans MT"/>
                <w:sz w:val="24"/>
                <w:szCs w:val="24"/>
              </w:rPr>
            </w:pPr>
          </w:p>
        </w:tc>
      </w:tr>
      <w:tr w:rsidR="00593315" w:rsidRPr="00320222" w14:paraId="0CD55F20" w14:textId="67ABD696" w:rsidTr="00593315">
        <w:tc>
          <w:tcPr>
            <w:tcW w:w="1633" w:type="dxa"/>
            <w:vAlign w:val="center"/>
          </w:tcPr>
          <w:p w14:paraId="0A554BAE" w14:textId="77777777" w:rsidR="00593315" w:rsidRPr="00320222" w:rsidRDefault="00593315" w:rsidP="00315EF8">
            <w:pPr>
              <w:rPr>
                <w:rFonts w:ascii="Gill Sans MT" w:hAnsi="Gill Sans MT" w:cstheme="minorHAnsi"/>
                <w:sz w:val="24"/>
                <w:szCs w:val="24"/>
              </w:rPr>
            </w:pPr>
            <w:r w:rsidRPr="00320222">
              <w:rPr>
                <w:rFonts w:ascii="Gill Sans MT" w:hAnsi="Gill Sans MT" w:cstheme="minorHAnsi"/>
                <w:sz w:val="24"/>
                <w:szCs w:val="24"/>
              </w:rPr>
              <w:t>Arrange transport</w:t>
            </w:r>
          </w:p>
        </w:tc>
        <w:tc>
          <w:tcPr>
            <w:tcW w:w="10128" w:type="dxa"/>
          </w:tcPr>
          <w:p w14:paraId="05450398"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874C50">
              <w:rPr>
                <w:rFonts w:ascii="Gill Sans MT" w:hAnsi="Gill Sans MT" w:cstheme="minorHAnsi"/>
                <w:sz w:val="24"/>
                <w:szCs w:val="24"/>
              </w:rPr>
              <w:t xml:space="preserve">The patient should be transferred as soon as possible, ideally to reach hospice by early afternoon. </w:t>
            </w:r>
          </w:p>
          <w:p w14:paraId="43A7863B"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874C50">
              <w:rPr>
                <w:rFonts w:ascii="Gill Sans MT" w:hAnsi="Gill Sans MT" w:cstheme="minorHAnsi"/>
                <w:sz w:val="24"/>
                <w:szCs w:val="24"/>
              </w:rPr>
              <w:t xml:space="preserve">If the patient has not departed the ward by 2pm then the discharge co-ordinator should liaise with the Hospice team. </w:t>
            </w:r>
          </w:p>
        </w:tc>
        <w:tc>
          <w:tcPr>
            <w:tcW w:w="2187" w:type="dxa"/>
          </w:tcPr>
          <w:p w14:paraId="4654267D" w14:textId="77777777" w:rsidR="00593315" w:rsidRDefault="00593315" w:rsidP="00315EF8">
            <w:pPr>
              <w:rPr>
                <w:rFonts w:ascii="Gill Sans MT" w:hAnsi="Gill Sans MT" w:cstheme="minorHAnsi"/>
                <w:sz w:val="24"/>
                <w:szCs w:val="24"/>
              </w:rPr>
            </w:pPr>
          </w:p>
        </w:tc>
      </w:tr>
      <w:tr w:rsidR="00593315" w:rsidRPr="00320222" w14:paraId="025D71FC" w14:textId="255555C4" w:rsidTr="00593315">
        <w:tc>
          <w:tcPr>
            <w:tcW w:w="1633" w:type="dxa"/>
            <w:vAlign w:val="center"/>
          </w:tcPr>
          <w:p w14:paraId="70AF125C" w14:textId="77777777" w:rsidR="00593315" w:rsidRPr="00320222" w:rsidRDefault="00593315" w:rsidP="00315EF8">
            <w:pPr>
              <w:rPr>
                <w:rFonts w:ascii="Gill Sans MT" w:hAnsi="Gill Sans MT" w:cstheme="minorHAnsi"/>
                <w:sz w:val="24"/>
                <w:szCs w:val="24"/>
              </w:rPr>
            </w:pPr>
            <w:r>
              <w:rPr>
                <w:rFonts w:ascii="Gill Sans MT" w:hAnsi="Gill Sans MT" w:cstheme="minorHAnsi"/>
                <w:sz w:val="24"/>
                <w:szCs w:val="24"/>
              </w:rPr>
              <w:t>Finalise your r</w:t>
            </w:r>
            <w:r w:rsidRPr="00320222">
              <w:rPr>
                <w:rFonts w:ascii="Gill Sans MT" w:hAnsi="Gill Sans MT" w:cstheme="minorHAnsi"/>
                <w:sz w:val="24"/>
                <w:szCs w:val="24"/>
              </w:rPr>
              <w:t>equest</w:t>
            </w:r>
            <w:r>
              <w:rPr>
                <w:rFonts w:ascii="Gill Sans MT" w:hAnsi="Gill Sans MT" w:cstheme="minorHAnsi"/>
                <w:sz w:val="24"/>
                <w:szCs w:val="24"/>
              </w:rPr>
              <w:t xml:space="preserve"> for</w:t>
            </w:r>
            <w:r w:rsidRPr="00320222">
              <w:rPr>
                <w:rFonts w:ascii="Gill Sans MT" w:hAnsi="Gill Sans MT" w:cstheme="minorHAnsi"/>
                <w:sz w:val="24"/>
                <w:szCs w:val="24"/>
              </w:rPr>
              <w:t xml:space="preserve"> </w:t>
            </w:r>
            <w:r w:rsidRPr="00320222">
              <w:rPr>
                <w:rFonts w:ascii="Gill Sans MT" w:hAnsi="Gill Sans MT" w:cstheme="minorHAnsi"/>
                <w:iCs/>
                <w:sz w:val="24"/>
                <w:szCs w:val="24"/>
              </w:rPr>
              <w:t>limited</w:t>
            </w:r>
            <w:r w:rsidRPr="00320222">
              <w:rPr>
                <w:rFonts w:ascii="Gill Sans MT" w:hAnsi="Gill Sans MT" w:cstheme="minorHAnsi"/>
                <w:sz w:val="24"/>
                <w:szCs w:val="24"/>
              </w:rPr>
              <w:t xml:space="preserve"> TTAs</w:t>
            </w:r>
          </w:p>
          <w:p w14:paraId="0760350F" w14:textId="77777777" w:rsidR="00593315" w:rsidRPr="00320222" w:rsidRDefault="00593315" w:rsidP="00315EF8">
            <w:pPr>
              <w:rPr>
                <w:rFonts w:ascii="Gill Sans MT" w:hAnsi="Gill Sans MT" w:cstheme="minorHAnsi"/>
                <w:sz w:val="24"/>
                <w:szCs w:val="24"/>
              </w:rPr>
            </w:pPr>
          </w:p>
        </w:tc>
        <w:tc>
          <w:tcPr>
            <w:tcW w:w="10128" w:type="dxa"/>
          </w:tcPr>
          <w:p w14:paraId="10E027A4"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874C50">
              <w:rPr>
                <w:rFonts w:ascii="Gill Sans MT" w:hAnsi="Gill Sans MT" w:cstheme="minorHAnsi"/>
                <w:sz w:val="24"/>
                <w:szCs w:val="24"/>
              </w:rPr>
              <w:t xml:space="preserve">TTA section of discharge summary should still be completed by ward team, and reviewed by ward pharmacist, even if no medications need to be sent. </w:t>
            </w:r>
          </w:p>
        </w:tc>
        <w:tc>
          <w:tcPr>
            <w:tcW w:w="2187" w:type="dxa"/>
          </w:tcPr>
          <w:p w14:paraId="55C7F733" w14:textId="77777777" w:rsidR="00593315" w:rsidRDefault="00593315" w:rsidP="00315EF8">
            <w:pPr>
              <w:rPr>
                <w:rFonts w:ascii="Gill Sans MT" w:hAnsi="Gill Sans MT" w:cstheme="minorHAnsi"/>
                <w:sz w:val="24"/>
                <w:szCs w:val="24"/>
              </w:rPr>
            </w:pPr>
          </w:p>
        </w:tc>
      </w:tr>
      <w:tr w:rsidR="00593315" w:rsidRPr="00320222" w14:paraId="09592CAD" w14:textId="736345CD" w:rsidTr="00593315">
        <w:tc>
          <w:tcPr>
            <w:tcW w:w="1633" w:type="dxa"/>
            <w:vAlign w:val="center"/>
          </w:tcPr>
          <w:p w14:paraId="55EA74E3" w14:textId="77777777" w:rsidR="00593315" w:rsidRPr="00320222" w:rsidRDefault="00593315" w:rsidP="00315EF8">
            <w:pPr>
              <w:rPr>
                <w:rFonts w:ascii="Gill Sans MT" w:hAnsi="Gill Sans MT" w:cstheme="minorHAnsi"/>
                <w:sz w:val="24"/>
                <w:szCs w:val="24"/>
              </w:rPr>
            </w:pPr>
            <w:r>
              <w:rPr>
                <w:rFonts w:ascii="Gill Sans MT" w:hAnsi="Gill Sans MT" w:cstheme="minorHAnsi"/>
                <w:sz w:val="24"/>
                <w:szCs w:val="24"/>
              </w:rPr>
              <w:t>C</w:t>
            </w:r>
            <w:r w:rsidRPr="00320222">
              <w:rPr>
                <w:rFonts w:ascii="Gill Sans MT" w:hAnsi="Gill Sans MT" w:cstheme="minorHAnsi"/>
                <w:sz w:val="24"/>
                <w:szCs w:val="24"/>
              </w:rPr>
              <w:t>omplete discharge summary</w:t>
            </w:r>
          </w:p>
        </w:tc>
        <w:tc>
          <w:tcPr>
            <w:tcW w:w="10128" w:type="dxa"/>
          </w:tcPr>
          <w:p w14:paraId="1E9305FB"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t xml:space="preserve">- </w:t>
            </w:r>
            <w:r w:rsidRPr="00874C50">
              <w:rPr>
                <w:rFonts w:ascii="Gill Sans MT" w:hAnsi="Gill Sans MT" w:cstheme="minorHAnsi"/>
                <w:sz w:val="24"/>
                <w:szCs w:val="24"/>
              </w:rPr>
              <w:t>Before discharge, a copy of the discharge summary should be completed as per usual discharge process</w:t>
            </w:r>
          </w:p>
        </w:tc>
        <w:tc>
          <w:tcPr>
            <w:tcW w:w="2187" w:type="dxa"/>
          </w:tcPr>
          <w:p w14:paraId="4279C75A" w14:textId="77777777" w:rsidR="00593315" w:rsidRDefault="00593315" w:rsidP="00315EF8">
            <w:pPr>
              <w:rPr>
                <w:rFonts w:ascii="Gill Sans MT" w:hAnsi="Gill Sans MT" w:cstheme="minorHAnsi"/>
                <w:sz w:val="24"/>
                <w:szCs w:val="24"/>
              </w:rPr>
            </w:pPr>
          </w:p>
        </w:tc>
      </w:tr>
      <w:tr w:rsidR="00593315" w:rsidRPr="00320222" w14:paraId="3653F9B5" w14:textId="54E1A787" w:rsidTr="00593315">
        <w:tc>
          <w:tcPr>
            <w:tcW w:w="1633" w:type="dxa"/>
            <w:vAlign w:val="center"/>
          </w:tcPr>
          <w:p w14:paraId="3D13AF0E" w14:textId="77777777" w:rsidR="00593315" w:rsidRPr="00320222" w:rsidRDefault="00593315" w:rsidP="00315EF8">
            <w:pPr>
              <w:rPr>
                <w:rFonts w:ascii="Gill Sans MT" w:hAnsi="Gill Sans MT" w:cstheme="minorHAnsi"/>
                <w:sz w:val="24"/>
                <w:szCs w:val="24"/>
              </w:rPr>
            </w:pPr>
            <w:r w:rsidRPr="00320222">
              <w:rPr>
                <w:rFonts w:ascii="Gill Sans MT" w:hAnsi="Gill Sans MT" w:cstheme="minorHAnsi"/>
                <w:sz w:val="24"/>
                <w:szCs w:val="24"/>
              </w:rPr>
              <w:t xml:space="preserve">Package and send any </w:t>
            </w:r>
            <w:r w:rsidRPr="00320222">
              <w:rPr>
                <w:rFonts w:ascii="Gill Sans MT" w:hAnsi="Gill Sans MT" w:cstheme="minorHAnsi"/>
                <w:sz w:val="24"/>
                <w:szCs w:val="24"/>
              </w:rPr>
              <w:lastRenderedPageBreak/>
              <w:t>paper-based notes</w:t>
            </w:r>
          </w:p>
        </w:tc>
        <w:tc>
          <w:tcPr>
            <w:tcW w:w="10128" w:type="dxa"/>
          </w:tcPr>
          <w:p w14:paraId="372F8D7E" w14:textId="77777777" w:rsidR="00593315" w:rsidRPr="00874C50" w:rsidRDefault="00593315" w:rsidP="00315EF8">
            <w:pPr>
              <w:rPr>
                <w:rFonts w:ascii="Gill Sans MT" w:hAnsi="Gill Sans MT" w:cstheme="minorHAnsi"/>
                <w:sz w:val="24"/>
                <w:szCs w:val="24"/>
              </w:rPr>
            </w:pPr>
            <w:r>
              <w:rPr>
                <w:rFonts w:ascii="Gill Sans MT" w:hAnsi="Gill Sans MT" w:cstheme="minorHAnsi"/>
                <w:sz w:val="24"/>
                <w:szCs w:val="24"/>
              </w:rPr>
              <w:lastRenderedPageBreak/>
              <w:t xml:space="preserve">- </w:t>
            </w:r>
            <w:r w:rsidRPr="00874C50">
              <w:rPr>
                <w:rFonts w:ascii="Gill Sans MT" w:hAnsi="Gill Sans MT" w:cstheme="minorHAnsi"/>
                <w:sz w:val="24"/>
                <w:szCs w:val="24"/>
              </w:rPr>
              <w:t xml:space="preserve">Any relevant physical documentation should be sent with the patient (The hospice team have read-only access to EPIC). </w:t>
            </w:r>
          </w:p>
        </w:tc>
        <w:tc>
          <w:tcPr>
            <w:tcW w:w="2187" w:type="dxa"/>
          </w:tcPr>
          <w:p w14:paraId="6FE4CC18" w14:textId="77777777" w:rsidR="00593315" w:rsidRDefault="00593315" w:rsidP="00315EF8">
            <w:pPr>
              <w:rPr>
                <w:rFonts w:ascii="Gill Sans MT" w:hAnsi="Gill Sans MT" w:cstheme="minorHAnsi"/>
                <w:sz w:val="24"/>
                <w:szCs w:val="24"/>
              </w:rPr>
            </w:pPr>
          </w:p>
        </w:tc>
      </w:tr>
      <w:tr w:rsidR="00593315" w:rsidRPr="00320222" w14:paraId="562EA5B5" w14:textId="37769DB2" w:rsidTr="00593315">
        <w:tc>
          <w:tcPr>
            <w:tcW w:w="11761" w:type="dxa"/>
            <w:gridSpan w:val="2"/>
            <w:vAlign w:val="center"/>
          </w:tcPr>
          <w:p w14:paraId="4E9F73EA" w14:textId="77777777" w:rsidR="00593315" w:rsidRDefault="00593315" w:rsidP="00315EF8">
            <w:pPr>
              <w:rPr>
                <w:rFonts w:ascii="Gill Sans MT" w:hAnsi="Gill Sans MT" w:cstheme="minorHAnsi"/>
                <w:sz w:val="24"/>
                <w:szCs w:val="24"/>
              </w:rPr>
            </w:pPr>
            <w:r w:rsidRPr="004D24B3">
              <w:rPr>
                <w:rFonts w:ascii="Gill Sans MT" w:hAnsi="Gill Sans MT" w:cstheme="minorHAnsi"/>
                <w:b/>
                <w:bCs/>
                <w:color w:val="FF0000"/>
                <w:sz w:val="24"/>
                <w:szCs w:val="24"/>
              </w:rPr>
              <w:t>FOR TRANSFERS DIRECT FROM THE EMERGENCY DEPARTMENT</w:t>
            </w:r>
          </w:p>
        </w:tc>
        <w:tc>
          <w:tcPr>
            <w:tcW w:w="2187" w:type="dxa"/>
          </w:tcPr>
          <w:p w14:paraId="5C8C7B92" w14:textId="77777777" w:rsidR="00593315" w:rsidRPr="004D24B3" w:rsidRDefault="00593315" w:rsidP="00315EF8">
            <w:pPr>
              <w:rPr>
                <w:rFonts w:ascii="Gill Sans MT" w:hAnsi="Gill Sans MT" w:cstheme="minorHAnsi"/>
                <w:b/>
                <w:bCs/>
                <w:color w:val="FF0000"/>
                <w:sz w:val="24"/>
                <w:szCs w:val="24"/>
              </w:rPr>
            </w:pPr>
          </w:p>
        </w:tc>
      </w:tr>
      <w:tr w:rsidR="00593315" w:rsidRPr="00320222" w14:paraId="23855E5D" w14:textId="146D7BF0" w:rsidTr="00593315">
        <w:tc>
          <w:tcPr>
            <w:tcW w:w="1633" w:type="dxa"/>
            <w:vAlign w:val="center"/>
          </w:tcPr>
          <w:p w14:paraId="5697F874" w14:textId="77777777" w:rsidR="00593315" w:rsidRPr="00320222" w:rsidRDefault="00593315" w:rsidP="00315EF8">
            <w:pPr>
              <w:rPr>
                <w:rFonts w:ascii="Gill Sans MT" w:hAnsi="Gill Sans MT" w:cstheme="minorHAnsi"/>
                <w:sz w:val="24"/>
                <w:szCs w:val="24"/>
              </w:rPr>
            </w:pPr>
            <w:r>
              <w:rPr>
                <w:rFonts w:ascii="Gill Sans MT" w:hAnsi="Gill Sans MT" w:cstheme="minorHAnsi"/>
                <w:sz w:val="24"/>
                <w:szCs w:val="24"/>
              </w:rPr>
              <w:t>Contact our Team</w:t>
            </w:r>
          </w:p>
        </w:tc>
        <w:tc>
          <w:tcPr>
            <w:tcW w:w="10128" w:type="dxa"/>
          </w:tcPr>
          <w:p w14:paraId="1F2362F8" w14:textId="72FB31A7" w:rsidR="00593315" w:rsidRDefault="00593315" w:rsidP="00315EF8">
            <w:pPr>
              <w:rPr>
                <w:rFonts w:ascii="Gill Sans MT" w:hAnsi="Gill Sans MT" w:cstheme="minorHAnsi"/>
                <w:sz w:val="24"/>
                <w:szCs w:val="24"/>
              </w:rPr>
            </w:pPr>
            <w:r>
              <w:rPr>
                <w:rFonts w:ascii="Gill Sans MT" w:hAnsi="Gill Sans MT" w:cstheme="minorHAnsi"/>
                <w:sz w:val="24"/>
                <w:szCs w:val="24"/>
              </w:rPr>
              <w:t>If the patient has arrived in ED but you feel transfer to the hospice is clinically indicated, please contact our team as soon as possible to discuss the possibility of transfer</w:t>
            </w:r>
          </w:p>
          <w:p w14:paraId="2B987BFE"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We can consider admission if we have capacity as long as:</w:t>
            </w:r>
          </w:p>
          <w:p w14:paraId="13D98615" w14:textId="77777777" w:rsidR="00593315" w:rsidRPr="001F3C44" w:rsidRDefault="00593315" w:rsidP="00593315">
            <w:pPr>
              <w:pStyle w:val="ListParagraph"/>
              <w:numPr>
                <w:ilvl w:val="0"/>
                <w:numId w:val="2"/>
              </w:numPr>
              <w:rPr>
                <w:rFonts w:ascii="Gill Sans MT" w:hAnsi="Gill Sans MT" w:cstheme="minorHAnsi"/>
                <w:sz w:val="24"/>
                <w:szCs w:val="24"/>
              </w:rPr>
            </w:pPr>
            <w:r w:rsidRPr="001F3C44">
              <w:rPr>
                <w:rFonts w:ascii="Gill Sans MT" w:hAnsi="Gill Sans MT" w:cstheme="minorHAnsi"/>
                <w:sz w:val="24"/>
                <w:szCs w:val="24"/>
              </w:rPr>
              <w:t>The patient / family has consented to transfer.</w:t>
            </w:r>
          </w:p>
          <w:p w14:paraId="1AF9A00F" w14:textId="77777777" w:rsidR="00593315" w:rsidRPr="001F3C44" w:rsidRDefault="00593315" w:rsidP="00593315">
            <w:pPr>
              <w:pStyle w:val="ListParagraph"/>
              <w:numPr>
                <w:ilvl w:val="0"/>
                <w:numId w:val="2"/>
              </w:numPr>
              <w:rPr>
                <w:rFonts w:ascii="Gill Sans MT" w:hAnsi="Gill Sans MT" w:cstheme="minorHAnsi"/>
                <w:sz w:val="24"/>
                <w:szCs w:val="24"/>
              </w:rPr>
            </w:pPr>
            <w:r w:rsidRPr="001F3C44">
              <w:rPr>
                <w:rFonts w:ascii="Gill Sans MT" w:hAnsi="Gill Sans MT" w:cstheme="minorHAnsi"/>
                <w:sz w:val="24"/>
                <w:szCs w:val="24"/>
              </w:rPr>
              <w:t xml:space="preserve">All reversible causes have been considered and managed or </w:t>
            </w:r>
          </w:p>
          <w:p w14:paraId="757E1D69" w14:textId="77777777" w:rsidR="00593315" w:rsidRPr="001F3C44" w:rsidRDefault="00593315" w:rsidP="00593315">
            <w:pPr>
              <w:pStyle w:val="ListParagraph"/>
              <w:numPr>
                <w:ilvl w:val="0"/>
                <w:numId w:val="2"/>
              </w:numPr>
              <w:rPr>
                <w:rFonts w:ascii="Gill Sans MT" w:hAnsi="Gill Sans MT" w:cstheme="minorHAnsi"/>
                <w:sz w:val="24"/>
                <w:szCs w:val="24"/>
              </w:rPr>
            </w:pPr>
            <w:r w:rsidRPr="001F3C44">
              <w:rPr>
                <w:rFonts w:ascii="Gill Sans MT" w:hAnsi="Gill Sans MT" w:cstheme="minorHAnsi"/>
                <w:sz w:val="24"/>
                <w:szCs w:val="24"/>
              </w:rPr>
              <w:t>It has been discussed and agreed with the patient that further acute treatment is not clinical indicated.</w:t>
            </w:r>
          </w:p>
          <w:p w14:paraId="023B4DAB" w14:textId="77777777" w:rsidR="00593315" w:rsidRPr="001F3C44" w:rsidRDefault="00593315" w:rsidP="00593315">
            <w:pPr>
              <w:pStyle w:val="ListParagraph"/>
              <w:numPr>
                <w:ilvl w:val="0"/>
                <w:numId w:val="2"/>
              </w:numPr>
              <w:rPr>
                <w:rFonts w:ascii="Gill Sans MT" w:hAnsi="Gill Sans MT" w:cstheme="minorHAnsi"/>
                <w:sz w:val="24"/>
                <w:szCs w:val="24"/>
              </w:rPr>
            </w:pPr>
            <w:r w:rsidRPr="001F3C44">
              <w:rPr>
                <w:rFonts w:ascii="Gill Sans MT" w:hAnsi="Gill Sans MT" w:cstheme="minorHAnsi"/>
                <w:sz w:val="24"/>
                <w:szCs w:val="24"/>
              </w:rPr>
              <w:t xml:space="preserve">You </w:t>
            </w:r>
            <w:proofErr w:type="gramStart"/>
            <w:r w:rsidRPr="001F3C44">
              <w:rPr>
                <w:rFonts w:ascii="Gill Sans MT" w:hAnsi="Gill Sans MT" w:cstheme="minorHAnsi"/>
                <w:sz w:val="24"/>
                <w:szCs w:val="24"/>
              </w:rPr>
              <w:t>are able to</w:t>
            </w:r>
            <w:proofErr w:type="gramEnd"/>
            <w:r w:rsidRPr="001F3C44">
              <w:rPr>
                <w:rFonts w:ascii="Gill Sans MT" w:hAnsi="Gill Sans MT" w:cstheme="minorHAnsi"/>
                <w:sz w:val="24"/>
                <w:szCs w:val="24"/>
              </w:rPr>
              <w:t xml:space="preserve"> provide a clinical background to the case. This is especially important if the patient is not already known to the hospice.</w:t>
            </w:r>
          </w:p>
          <w:p w14:paraId="381F4ACD" w14:textId="77777777" w:rsidR="00593315" w:rsidRDefault="00593315" w:rsidP="00315EF8">
            <w:pPr>
              <w:rPr>
                <w:rFonts w:ascii="Gill Sans MT" w:hAnsi="Gill Sans MT" w:cstheme="minorHAnsi"/>
                <w:sz w:val="24"/>
                <w:szCs w:val="24"/>
              </w:rPr>
            </w:pPr>
            <w:r>
              <w:rPr>
                <w:rFonts w:ascii="Gill Sans MT" w:hAnsi="Gill Sans MT" w:cstheme="minorHAnsi"/>
                <w:sz w:val="24"/>
                <w:szCs w:val="24"/>
              </w:rPr>
              <w:t>We are unlikely to be able to agree to immediate transfer if the patient arrives in ED after 3pm but after discussion we may be able to agree to transfer the following morning.</w:t>
            </w:r>
          </w:p>
        </w:tc>
        <w:tc>
          <w:tcPr>
            <w:tcW w:w="2187" w:type="dxa"/>
          </w:tcPr>
          <w:p w14:paraId="47386F3E" w14:textId="77777777" w:rsidR="00593315" w:rsidRDefault="00593315" w:rsidP="00315EF8">
            <w:pPr>
              <w:rPr>
                <w:rFonts w:ascii="Gill Sans MT" w:hAnsi="Gill Sans MT" w:cstheme="minorHAnsi"/>
                <w:sz w:val="24"/>
                <w:szCs w:val="24"/>
              </w:rPr>
            </w:pPr>
          </w:p>
        </w:tc>
      </w:tr>
      <w:bookmarkEnd w:id="0"/>
    </w:tbl>
    <w:p w14:paraId="137BB0AD" w14:textId="77777777" w:rsidR="007A2F9D" w:rsidRDefault="007A2F9D"/>
    <w:sectPr w:rsidR="007A2F9D" w:rsidSect="001B4412">
      <w:footerReference w:type="default" r:id="rId7"/>
      <w:headerReference w:type="first" r:id="rId8"/>
      <w:footerReference w:type="firs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913C" w14:textId="77777777" w:rsidR="0068268A" w:rsidRDefault="0068268A" w:rsidP="001B4412">
      <w:pPr>
        <w:spacing w:after="0" w:line="240" w:lineRule="auto"/>
      </w:pPr>
      <w:r>
        <w:separator/>
      </w:r>
    </w:p>
  </w:endnote>
  <w:endnote w:type="continuationSeparator" w:id="0">
    <w:p w14:paraId="1FC94CDE" w14:textId="77777777" w:rsidR="0068268A" w:rsidRDefault="0068268A" w:rsidP="001B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2EFE" w14:textId="1DD85E18" w:rsidR="00593315" w:rsidRPr="00593315" w:rsidRDefault="00593315" w:rsidP="00593315">
    <w:pPr>
      <w:pStyle w:val="Header"/>
      <w:rPr>
        <w:sz w:val="20"/>
        <w:szCs w:val="20"/>
      </w:rPr>
    </w:pPr>
    <w:r w:rsidRPr="00593315">
      <w:rPr>
        <w:sz w:val="20"/>
        <w:szCs w:val="20"/>
      </w:rPr>
      <w:t xml:space="preserve">In-patient Transfer Checklist v2 – North </w:t>
    </w:r>
    <w:r w:rsidR="00EF3E8F">
      <w:rPr>
        <w:sz w:val="20"/>
        <w:szCs w:val="20"/>
      </w:rPr>
      <w:t>D</w:t>
    </w:r>
    <w:r w:rsidRPr="00593315">
      <w:rPr>
        <w:sz w:val="20"/>
        <w:szCs w:val="20"/>
      </w:rPr>
      <w:t>evon Hospice                  Review date January 2025</w:t>
    </w:r>
  </w:p>
  <w:p w14:paraId="73F85829" w14:textId="77777777" w:rsidR="00593315" w:rsidRDefault="00593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6B6C" w14:textId="2B8F62D1" w:rsidR="00593315" w:rsidRPr="00593315" w:rsidRDefault="00593315" w:rsidP="00593315">
    <w:pPr>
      <w:pStyle w:val="Header"/>
      <w:rPr>
        <w:sz w:val="20"/>
        <w:szCs w:val="20"/>
      </w:rPr>
    </w:pPr>
    <w:bookmarkStart w:id="1" w:name="_Hlk158205053"/>
    <w:r w:rsidRPr="00593315">
      <w:rPr>
        <w:sz w:val="20"/>
        <w:szCs w:val="20"/>
      </w:rPr>
      <w:t xml:space="preserve">In-patient Transfer Checklist v2 – North </w:t>
    </w:r>
    <w:r w:rsidR="00EF3E8F">
      <w:rPr>
        <w:sz w:val="20"/>
        <w:szCs w:val="20"/>
      </w:rPr>
      <w:t>D</w:t>
    </w:r>
    <w:r w:rsidRPr="00593315">
      <w:rPr>
        <w:sz w:val="20"/>
        <w:szCs w:val="20"/>
      </w:rPr>
      <w:t>evon Hospice                  Review date January 2025</w:t>
    </w:r>
  </w:p>
  <w:bookmarkEnd w:id="1"/>
  <w:p w14:paraId="7AD9662A" w14:textId="77777777" w:rsidR="00593315" w:rsidRDefault="0059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AFAE" w14:textId="77777777" w:rsidR="0068268A" w:rsidRDefault="0068268A" w:rsidP="001B4412">
      <w:pPr>
        <w:spacing w:after="0" w:line="240" w:lineRule="auto"/>
      </w:pPr>
      <w:r>
        <w:separator/>
      </w:r>
    </w:p>
  </w:footnote>
  <w:footnote w:type="continuationSeparator" w:id="0">
    <w:p w14:paraId="1F94FBDC" w14:textId="77777777" w:rsidR="0068268A" w:rsidRDefault="0068268A" w:rsidP="001B4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CDD5" w14:textId="77777777" w:rsidR="001B4412" w:rsidRDefault="001B4412" w:rsidP="001B4412">
    <w:pPr>
      <w:pStyle w:val="Header"/>
      <w:rPr>
        <w:b/>
        <w:bCs/>
      </w:rPr>
    </w:pPr>
    <w:r>
      <w:rPr>
        <w:noProof/>
        <w:lang w:eastAsia="en-GB"/>
      </w:rPr>
      <w:drawing>
        <wp:anchor distT="0" distB="0" distL="114300" distR="114300" simplePos="0" relativeHeight="251659264" behindDoc="0" locked="0" layoutInCell="1" allowOverlap="1" wp14:anchorId="69CD0765" wp14:editId="79A1A3DA">
          <wp:simplePos x="0" y="0"/>
          <wp:positionH relativeFrom="margin">
            <wp:posOffset>8328660</wp:posOffset>
          </wp:positionH>
          <wp:positionV relativeFrom="paragraph">
            <wp:posOffset>-104140</wp:posOffset>
          </wp:positionV>
          <wp:extent cx="1000125" cy="850605"/>
          <wp:effectExtent l="0" t="0" r="0" b="6985"/>
          <wp:wrapNone/>
          <wp:docPr id="1992053859" name="Picture 19920538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850605"/>
                  </a:xfrm>
                  <a:prstGeom prst="rect">
                    <a:avLst/>
                  </a:prstGeom>
                  <a:noFill/>
                  <a:ln>
                    <a:noFill/>
                  </a:ln>
                </pic:spPr>
              </pic:pic>
            </a:graphicData>
          </a:graphic>
        </wp:anchor>
      </w:drawing>
    </w:r>
    <w:r>
      <w:rPr>
        <w:b/>
        <w:bCs/>
      </w:rPr>
      <w:t>North Devon Hospice</w:t>
    </w:r>
  </w:p>
  <w:p w14:paraId="5ED251FF" w14:textId="77777777" w:rsidR="001B4412" w:rsidRDefault="001B4412" w:rsidP="001B4412">
    <w:pPr>
      <w:pStyle w:val="Header"/>
      <w:rPr>
        <w:b/>
        <w:bCs/>
      </w:rPr>
    </w:pPr>
    <w:r>
      <w:rPr>
        <w:b/>
        <w:bCs/>
      </w:rPr>
      <w:t>In-patient Transfer Checklist</w:t>
    </w:r>
  </w:p>
  <w:p w14:paraId="45A099F3" w14:textId="77777777" w:rsidR="001B4412" w:rsidRDefault="001B4412" w:rsidP="001B4412">
    <w:pPr>
      <w:pStyle w:val="Header"/>
      <w:rPr>
        <w:b/>
        <w:bCs/>
      </w:rPr>
    </w:pPr>
  </w:p>
  <w:p w14:paraId="3D3ED1D9" w14:textId="77777777" w:rsidR="001B4412" w:rsidRDefault="001B4412" w:rsidP="001B4412">
    <w:pPr>
      <w:pStyle w:val="Header"/>
      <w:rPr>
        <w:b/>
        <w:bCs/>
      </w:rPr>
    </w:pPr>
  </w:p>
  <w:p w14:paraId="2E05521E" w14:textId="77777777" w:rsidR="001B4412" w:rsidRDefault="001B4412" w:rsidP="001B4412">
    <w:pPr>
      <w:pStyle w:val="Header"/>
      <w:rPr>
        <w:b/>
        <w:bCs/>
      </w:rPr>
    </w:pPr>
  </w:p>
  <w:p w14:paraId="1D2C0C09" w14:textId="3EB224A8" w:rsidR="001B4412" w:rsidRDefault="001B4412" w:rsidP="001B4412">
    <w:pPr>
      <w:pStyle w:val="Header"/>
      <w:rPr>
        <w:b/>
        <w:bCs/>
        <w:sz w:val="24"/>
        <w:szCs w:val="24"/>
      </w:rPr>
    </w:pPr>
    <w:r>
      <w:rPr>
        <w:b/>
        <w:bCs/>
        <w:sz w:val="24"/>
        <w:szCs w:val="24"/>
      </w:rPr>
      <w:t>Please use this checklist in conjunction with our Referral and Transfer Pack</w:t>
    </w:r>
  </w:p>
  <w:p w14:paraId="3DD68585" w14:textId="77777777" w:rsidR="001B4412" w:rsidRDefault="001B4412" w:rsidP="001B4412">
    <w:pPr>
      <w:pStyle w:val="Header"/>
      <w:rPr>
        <w:b/>
        <w:bCs/>
        <w:sz w:val="24"/>
        <w:szCs w:val="24"/>
      </w:rPr>
    </w:pPr>
    <w:r w:rsidRPr="001B4412">
      <w:rPr>
        <w:b/>
        <w:bCs/>
        <w:sz w:val="24"/>
        <w:szCs w:val="24"/>
      </w:rPr>
      <w:t>As soon as you think a patient needs to be considered for transfer to our in-patient unit, we recommend you start completing the Transfer Checklist.</w:t>
    </w:r>
  </w:p>
  <w:p w14:paraId="0F189E9C" w14:textId="77777777" w:rsidR="001B4412" w:rsidRDefault="001B4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72FF9"/>
    <w:multiLevelType w:val="hybridMultilevel"/>
    <w:tmpl w:val="400C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C6A50"/>
    <w:multiLevelType w:val="hybridMultilevel"/>
    <w:tmpl w:val="5B0C38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1414949">
    <w:abstractNumId w:val="1"/>
  </w:num>
  <w:num w:numId="2" w16cid:durableId="112820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12"/>
    <w:rsid w:val="001B4412"/>
    <w:rsid w:val="003A2C2B"/>
    <w:rsid w:val="00593315"/>
    <w:rsid w:val="0068268A"/>
    <w:rsid w:val="007923F7"/>
    <w:rsid w:val="007A2F9D"/>
    <w:rsid w:val="00844F25"/>
    <w:rsid w:val="00965C71"/>
    <w:rsid w:val="0098216C"/>
    <w:rsid w:val="00DA1EE6"/>
    <w:rsid w:val="00EF3E8F"/>
    <w:rsid w:val="00FD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3FFBD"/>
  <w15:chartTrackingRefBased/>
  <w15:docId w15:val="{1BE74A79-4E2A-4F9B-ACA5-24C65D53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12"/>
    <w:rPr>
      <w:kern w:val="0"/>
      <w14:ligatures w14:val="none"/>
    </w:rPr>
  </w:style>
  <w:style w:type="paragraph" w:styleId="Heading1">
    <w:name w:val="heading 1"/>
    <w:basedOn w:val="Normal"/>
    <w:next w:val="Normal"/>
    <w:link w:val="Heading1Char"/>
    <w:uiPriority w:val="9"/>
    <w:qFormat/>
    <w:rsid w:val="001B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412"/>
    <w:rPr>
      <w:rFonts w:eastAsiaTheme="majorEastAsia" w:cstheme="majorBidi"/>
      <w:color w:val="272727" w:themeColor="text1" w:themeTint="D8"/>
    </w:rPr>
  </w:style>
  <w:style w:type="paragraph" w:styleId="Title">
    <w:name w:val="Title"/>
    <w:basedOn w:val="Normal"/>
    <w:next w:val="Normal"/>
    <w:link w:val="TitleChar"/>
    <w:uiPriority w:val="10"/>
    <w:qFormat/>
    <w:rsid w:val="001B4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412"/>
    <w:pPr>
      <w:spacing w:before="160"/>
      <w:jc w:val="center"/>
    </w:pPr>
    <w:rPr>
      <w:i/>
      <w:iCs/>
      <w:color w:val="404040" w:themeColor="text1" w:themeTint="BF"/>
    </w:rPr>
  </w:style>
  <w:style w:type="character" w:customStyle="1" w:styleId="QuoteChar">
    <w:name w:val="Quote Char"/>
    <w:basedOn w:val="DefaultParagraphFont"/>
    <w:link w:val="Quote"/>
    <w:uiPriority w:val="29"/>
    <w:rsid w:val="001B4412"/>
    <w:rPr>
      <w:i/>
      <w:iCs/>
      <w:color w:val="404040" w:themeColor="text1" w:themeTint="BF"/>
    </w:rPr>
  </w:style>
  <w:style w:type="paragraph" w:styleId="ListParagraph">
    <w:name w:val="List Paragraph"/>
    <w:basedOn w:val="Normal"/>
    <w:uiPriority w:val="34"/>
    <w:qFormat/>
    <w:rsid w:val="001B4412"/>
    <w:pPr>
      <w:ind w:left="720"/>
      <w:contextualSpacing/>
    </w:pPr>
  </w:style>
  <w:style w:type="character" w:styleId="IntenseEmphasis">
    <w:name w:val="Intense Emphasis"/>
    <w:basedOn w:val="DefaultParagraphFont"/>
    <w:uiPriority w:val="21"/>
    <w:qFormat/>
    <w:rsid w:val="001B4412"/>
    <w:rPr>
      <w:i/>
      <w:iCs/>
      <w:color w:val="0F4761" w:themeColor="accent1" w:themeShade="BF"/>
    </w:rPr>
  </w:style>
  <w:style w:type="paragraph" w:styleId="IntenseQuote">
    <w:name w:val="Intense Quote"/>
    <w:basedOn w:val="Normal"/>
    <w:next w:val="Normal"/>
    <w:link w:val="IntenseQuoteChar"/>
    <w:uiPriority w:val="30"/>
    <w:qFormat/>
    <w:rsid w:val="001B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412"/>
    <w:rPr>
      <w:i/>
      <w:iCs/>
      <w:color w:val="0F4761" w:themeColor="accent1" w:themeShade="BF"/>
    </w:rPr>
  </w:style>
  <w:style w:type="character" w:styleId="IntenseReference">
    <w:name w:val="Intense Reference"/>
    <w:basedOn w:val="DefaultParagraphFont"/>
    <w:uiPriority w:val="32"/>
    <w:qFormat/>
    <w:rsid w:val="001B4412"/>
    <w:rPr>
      <w:b/>
      <w:bCs/>
      <w:smallCaps/>
      <w:color w:val="0F4761" w:themeColor="accent1" w:themeShade="BF"/>
      <w:spacing w:val="5"/>
    </w:rPr>
  </w:style>
  <w:style w:type="table" w:styleId="TableGrid">
    <w:name w:val="Table Grid"/>
    <w:basedOn w:val="TableNormal"/>
    <w:uiPriority w:val="39"/>
    <w:rsid w:val="001B44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4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412"/>
    <w:rPr>
      <w:kern w:val="0"/>
      <w14:ligatures w14:val="none"/>
    </w:rPr>
  </w:style>
  <w:style w:type="paragraph" w:styleId="Footer">
    <w:name w:val="footer"/>
    <w:basedOn w:val="Normal"/>
    <w:link w:val="FooterChar"/>
    <w:uiPriority w:val="99"/>
    <w:unhideWhenUsed/>
    <w:rsid w:val="001B4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41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Dedes</dc:creator>
  <cp:keywords/>
  <dc:description/>
  <cp:lastModifiedBy>Saf Mabin</cp:lastModifiedBy>
  <cp:revision>3</cp:revision>
  <dcterms:created xsi:type="dcterms:W3CDTF">2024-02-13T14:59:00Z</dcterms:created>
  <dcterms:modified xsi:type="dcterms:W3CDTF">2024-02-13T15:01:00Z</dcterms:modified>
</cp:coreProperties>
</file>